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70" w:leader="none"/>
        </w:tabs>
        <w:rPr>
          <w:rFonts w:ascii="Arial" w:hAnsi="Arial" w:cs="Arial"/>
          <w:b/>
          <w:i/>
          <w:i/>
          <w:iCs/>
        </w:rPr>
      </w:pPr>
      <w:r>
        <w:rPr>
          <w:rFonts w:cs="Arial" w:ascii="Arial" w:hAnsi="Arial"/>
          <w:b/>
          <w:i/>
          <w:iCs/>
        </w:rPr>
        <w:t xml:space="preserve">Allegato al modello di Programmazione Disciplinare </w:t>
      </w:r>
    </w:p>
    <w:p>
      <w:pPr>
        <w:pStyle w:val="Normal"/>
        <w:tabs>
          <w:tab w:val="clear" w:pos="709"/>
          <w:tab w:val="left" w:pos="570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570" w:leader="none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 xml:space="preserve">Riferimenti per PROGRAMMAZIONE DISCIPLINARE </w:t>
      </w:r>
    </w:p>
    <w:p>
      <w:pPr>
        <w:pStyle w:val="Normal"/>
        <w:tabs>
          <w:tab w:val="clear" w:pos="709"/>
          <w:tab w:val="left" w:pos="570" w:leader="none"/>
        </w:tabs>
        <w:jc w:val="center"/>
        <w:rPr/>
      </w:pPr>
      <w:r>
        <w:rPr/>
      </w:r>
    </w:p>
    <w:p>
      <w:pPr>
        <w:pStyle w:val="Corpodeltesto"/>
        <w:rPr>
          <w:highlight w:val="yellow"/>
        </w:rPr>
      </w:pPr>
      <w:r>
        <w:rPr>
          <w:rFonts w:cs="Times New Roman" w:ascii="Times New Roman" w:hAnsi="Times New Roman"/>
          <w:i/>
          <w:iCs/>
          <w:highlight w:val="yellow"/>
        </w:rPr>
        <w:t>Si  indicano i documenti di riferimento per la programmazione disciplinare  consultabili per compilare le Sezioni Obiettivi e Valutazione, selezionando e riportando le voci ritenute più attinenti al lavoro previsto per la classe.</w:t>
      </w:r>
    </w:p>
    <w:p>
      <w:pPr>
        <w:pStyle w:val="Normal"/>
        <w:tabs>
          <w:tab w:val="left" w:pos="709" w:leader="none"/>
          <w:tab w:val="left" w:pos="851" w:leader="none"/>
        </w:tabs>
        <w:ind w:left="567" w:hang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709" w:leader="none"/>
          <w:tab w:val="left" w:pos="851" w:leader="none"/>
        </w:tabs>
        <w:ind w:left="567" w:hang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SEZIONE OBIETTIVI</w:t>
      </w:r>
    </w:p>
    <w:p>
      <w:pPr>
        <w:pStyle w:val="Normal"/>
        <w:ind w:left="567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Corpodeltesto"/>
        <w:ind w:left="567" w:hanging="0"/>
        <w:jc w:val="both"/>
        <w:rPr/>
      </w:pPr>
      <w:r>
        <w:rPr>
          <w:rFonts w:cs="Arial" w:ascii="Arial" w:hAnsi="Arial"/>
          <w:b/>
        </w:rPr>
        <w:t xml:space="preserve">1. </w:t>
      </w:r>
      <w:r>
        <w:rPr>
          <w:rFonts w:cs="Arial" w:ascii="Arial" w:hAnsi="Arial"/>
          <w:b/>
          <w:bCs/>
        </w:rPr>
        <w:t xml:space="preserve">Estratto dalla </w:t>
      </w:r>
      <w:r>
        <w:rPr>
          <w:rStyle w:val="CollegamentoInternet"/>
          <w:rFonts w:cs="Arial" w:ascii="Arial" w:hAnsi="Arial"/>
          <w:b/>
          <w:bCs/>
          <w:color w:val="000000"/>
          <w:u w:val="none"/>
        </w:rPr>
        <w:t>Raccomandazione del Consiglio dell'Unione Europea sulle competenze chiave per l'apprendimento permanente - 22 maggio 2018</w:t>
      </w:r>
      <w:r>
        <w:rPr>
          <w:rFonts w:cs="Arial" w:ascii="Arial" w:hAnsi="Arial"/>
          <w:b/>
          <w:bCs/>
          <w:color w:val="000000"/>
          <w:u w:val="none"/>
        </w:rPr>
        <w:t xml:space="preserve"> </w:t>
      </w:r>
    </w:p>
    <w:p>
      <w:pPr>
        <w:pStyle w:val="Corpodeltesto"/>
        <w:ind w:left="567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(...)</w:t>
      </w:r>
    </w:p>
    <w:p>
      <w:pPr>
        <w:pStyle w:val="Corpodeltesto"/>
        <w:ind w:left="56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Competenze chiave</w:t>
      </w:r>
    </w:p>
    <w:p>
      <w:pPr>
        <w:pStyle w:val="Corpodeltesto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Ai fini della presente raccomandazione le </w:t>
      </w:r>
      <w:r>
        <w:rPr>
          <w:rFonts w:cs="Arial" w:ascii="Arial" w:hAnsi="Arial"/>
          <w:b/>
          <w:bCs/>
          <w:sz w:val="22"/>
          <w:szCs w:val="22"/>
        </w:rPr>
        <w:t>competenze sono definite come una combinazione di conoscenze, abilità e atteggiamenti</w:t>
      </w:r>
      <w:r>
        <w:rPr>
          <w:rFonts w:cs="Arial" w:ascii="Arial" w:hAnsi="Arial"/>
          <w:sz w:val="22"/>
          <w:szCs w:val="22"/>
        </w:rPr>
        <w:t>, in cui:</w:t>
      </w:r>
    </w:p>
    <w:p>
      <w:pPr>
        <w:pStyle w:val="Corpodeltesto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d)</w:t>
      </w:r>
      <w:r>
        <w:rPr>
          <w:rFonts w:cs="Arial" w:ascii="Arial" w:hAnsi="Arial"/>
          <w:sz w:val="22"/>
          <w:szCs w:val="22"/>
        </w:rPr>
        <w:t xml:space="preserve"> la conoscenza si compone di fatti e cifre, concetti, idee e teorie che sono già stabiliti e che forniscono le basi per comprendere un certo settore o argomento;</w:t>
      </w:r>
    </w:p>
    <w:p>
      <w:pPr>
        <w:pStyle w:val="Corpodeltesto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e)</w:t>
      </w:r>
      <w:r>
        <w:rPr>
          <w:rFonts w:cs="Arial" w:ascii="Arial" w:hAnsi="Arial"/>
          <w:sz w:val="22"/>
          <w:szCs w:val="22"/>
        </w:rPr>
        <w:t xml:space="preserve"> per abilità si intende sapere ed essere capaci di eseguire processi ed applicare le conoscenze esistenti al fine di ottenere risultati;</w:t>
      </w:r>
    </w:p>
    <w:p>
      <w:pPr>
        <w:pStyle w:val="Corpodeltesto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f)</w:t>
      </w:r>
      <w:r>
        <w:rPr>
          <w:rFonts w:cs="Arial" w:ascii="Arial" w:hAnsi="Arial"/>
          <w:sz w:val="22"/>
          <w:szCs w:val="22"/>
        </w:rPr>
        <w:t xml:space="preserve"> gli atteggiamenti descrivono la disposizione e la mentalità per agire o reagire a idee, persone o situazioni. </w:t>
      </w:r>
    </w:p>
    <w:p>
      <w:pPr>
        <w:pStyle w:val="Corpodeltesto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competenze chiave sono quelle di cui tutti hanno bisogno per la realizzazione e lo sviluppo personali, l’occupabilità, l’inclusione sociale, uno stile di vita sostenibile, una vita fruttuosa in società pacifiche, una gestione della vita attenta alla salute e la cittadinanza attiva. Esse si sviluppano in una prospettiva di apprendimento permanente, dalla prima infanzia a tutta la vita adulta, mediante l’apprendimento formale, non formale e informale in tutti i contesti, compresi la famiglia, la scuola, il luogo di lavoro, il vicinato e altre comunità.</w:t>
      </w:r>
    </w:p>
    <w:p>
      <w:pPr>
        <w:pStyle w:val="Corpodeltesto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competenze chiave sono considerate tutte di pari importanza; ognuna di esse contribuisce a una vita fruttuosa nella società. Le competenze possono essere applicate in molti contesti differenti e in combinazioni diverse. Esse si sovrappongono e sono interconnesse; gli aspetti essenziali per un determinato ambito favoriscono le competenze in un altro. Elementi quali il pensiero critico, la risoluzione di problemi, il lavoro di squadra, le abilità comunicative e negoziali, le abilità analitiche, la creatività e le abilità interculturali sottendono a tutte le competenze chiave.</w:t>
      </w:r>
    </w:p>
    <w:p>
      <w:pPr>
        <w:pStyle w:val="Corpodeltesto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Il quadro di riferimento delinea </w:t>
      </w:r>
      <w:r>
        <w:rPr>
          <w:rFonts w:cs="Arial" w:ascii="Arial" w:hAnsi="Arial"/>
          <w:b/>
          <w:bCs/>
          <w:sz w:val="22"/>
          <w:szCs w:val="22"/>
        </w:rPr>
        <w:t>otto tipi di competenze chiave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alfabetica funzionale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multi-linguistica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matematica e competenza in scienze, tecnologie e ingegneria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digitale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personale, sociale e capacità di imparare a imparare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in materia di cittadinanza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imprenditoriale</w:t>
      </w:r>
    </w:p>
    <w:p>
      <w:pPr>
        <w:pStyle w:val="Corpodeltesto"/>
        <w:numPr>
          <w:ilvl w:val="0"/>
          <w:numId w:val="1"/>
        </w:numPr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competenza in materia di consapevolezza ed espressione culturali</w:t>
      </w:r>
    </w:p>
    <w:p>
      <w:pPr>
        <w:pStyle w:val="Corpodeltesto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(…)</w:t>
      </w:r>
    </w:p>
    <w:p>
      <w:pPr>
        <w:pStyle w:val="Corpodeltesto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851" w:leader="none"/>
        </w:tabs>
        <w:ind w:left="567" w:hanging="0"/>
        <w:jc w:val="both"/>
        <w:rPr/>
      </w:pPr>
      <w:r>
        <w:rPr>
          <w:rFonts w:cs="Arial" w:ascii="Arial" w:hAnsi="Arial"/>
          <w:b/>
        </w:rPr>
        <w:t xml:space="preserve">2. Estratto dei Risultati di apprendimento comuni - </w:t>
      </w:r>
      <w:r>
        <w:rPr>
          <w:rStyle w:val="CollegamentoInternet"/>
          <w:rFonts w:cs="Arial" w:ascii="Arial" w:hAnsi="Arial"/>
          <w:b/>
          <w:bCs/>
          <w:color w:val="000000"/>
          <w:u w:val="none"/>
        </w:rPr>
        <w:t>Allegato A del DPR 89 del 15.03.2010</w:t>
      </w:r>
      <w:r>
        <w:rPr>
          <w:rFonts w:cs="Arial" w:ascii="Arial" w:hAnsi="Arial"/>
          <w:b/>
          <w:u w:val="none"/>
        </w:rPr>
        <w:t xml:space="preserve"> </w:t>
      </w:r>
    </w:p>
    <w:p>
      <w:pPr>
        <w:pStyle w:val="Normal"/>
        <w:ind w:left="567" w:hanging="0"/>
        <w:jc w:val="both"/>
        <w:rPr>
          <w:rFonts w:ascii="Arial" w:hAnsi="Arial" w:cs="Arial"/>
          <w:b/>
          <w:i/>
          <w:i/>
          <w:iCs/>
          <w:sz w:val="20"/>
          <w:szCs w:val="20"/>
        </w:rPr>
      </w:pPr>
      <w:r>
        <w:rPr/>
      </w:r>
    </w:p>
    <w:p>
      <w:pPr>
        <w:pStyle w:val="Normal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(...)</w:t>
      </w:r>
    </w:p>
    <w:p>
      <w:pPr>
        <w:pStyle w:val="Normal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sistema dei licei consente allo studente di raggiungere risultati di apprendimento in parte comuni, in parte specifici dei distinti percorsi. La cultura liceale consente di approfondire e sviluppare conoscenze e abilità, maturare competenze e acquisire strumenti nelle aree metodologica; logico argomentativa; linguistica e comunicativa; storico-umanistica; scientifica, matematica e tecnologica. Risultati di apprendimento comuni a tutti i percorsi liceali a conclusione dei percorsi di ogni liceo gli studenti dovranno: </w:t>
      </w:r>
    </w:p>
    <w:p>
      <w:pPr>
        <w:pStyle w:val="Normal"/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Area metodologica</w:t>
      </w:r>
    </w:p>
    <w:p>
      <w:pPr>
        <w:pStyle w:val="Normal"/>
        <w:tabs>
          <w:tab w:val="clear" w:pos="709"/>
          <w:tab w:val="left" w:pos="851" w:leader="none"/>
        </w:tabs>
        <w:ind w:left="6598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 </w:t>
      </w:r>
    </w:p>
    <w:p>
      <w:pPr>
        <w:pStyle w:val="Normal"/>
        <w:tabs>
          <w:tab w:val="clear" w:pos="709"/>
          <w:tab w:val="left" w:pos="851" w:leader="none"/>
        </w:tabs>
        <w:ind w:left="164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Essere consapevoli della diversità dei metodi utilizzati dai vari ambiti disciplinari ed essere in grado valutare i criteri di affidabilità dei risultati in essi raggiunti.</w:t>
      </w:r>
    </w:p>
    <w:p>
      <w:pPr>
        <w:pStyle w:val="Normal"/>
        <w:tabs>
          <w:tab w:val="clear" w:pos="709"/>
          <w:tab w:val="left" w:pos="851" w:leader="none"/>
        </w:tabs>
        <w:ind w:left="164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Saper compiere le necessarie interconnessioni tra i metodi e i contenuti delle singole discipline.</w:t>
      </w:r>
    </w:p>
    <w:p>
      <w:pPr>
        <w:pStyle w:val="Normal"/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Area logico-argomentativa</w:t>
      </w:r>
    </w:p>
    <w:p>
      <w:pPr>
        <w:pStyle w:val="Normal"/>
        <w:tabs>
          <w:tab w:val="clear" w:pos="709"/>
          <w:tab w:val="left" w:pos="851" w:leader="none"/>
        </w:tabs>
        <w:ind w:left="128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Saper sostenere una propria tesi e saper ascoltare e valutare criticamente le argomentazioni altrui. </w:t>
      </w:r>
    </w:p>
    <w:p>
      <w:pPr>
        <w:pStyle w:val="Normal"/>
        <w:tabs>
          <w:tab w:val="clear" w:pos="709"/>
          <w:tab w:val="left" w:pos="851" w:leader="none"/>
        </w:tabs>
        <w:ind w:left="164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Acquisire l’abitudine a ragionare con rigore logico, ad identificare i problemi e a individuare possibili soluzioni.</w:t>
      </w:r>
    </w:p>
    <w:p>
      <w:pPr>
        <w:pStyle w:val="Normal"/>
        <w:tabs>
          <w:tab w:val="clear" w:pos="709"/>
          <w:tab w:val="left" w:pos="851" w:leader="none"/>
        </w:tabs>
        <w:ind w:left="164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Essere in grado di leggere e interpretare criticamente i contenuti delle diverse forme di comunicazione. </w:t>
      </w:r>
    </w:p>
    <w:p>
      <w:pPr>
        <w:pStyle w:val="Normal"/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851" w:leader="none"/>
        </w:tabs>
        <w:ind w:left="56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Area linguistica e comunicativa</w:t>
      </w:r>
    </w:p>
    <w:p>
      <w:pPr>
        <w:pStyle w:val="Normal"/>
        <w:tabs>
          <w:tab w:val="clear" w:pos="709"/>
          <w:tab w:val="left" w:pos="851" w:leader="none"/>
        </w:tabs>
        <w:ind w:left="128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Padroneggiare pienamente la lingua italiana e in particolare: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1650" w:leader="none"/>
        </w:tabs>
        <w:suppressAutoHyphens w:val="true"/>
        <w:spacing w:lineRule="auto" w:line="276"/>
        <w:ind w:left="10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900" w:leader="none"/>
          <w:tab w:val="left" w:pos="1530" w:leader="none"/>
        </w:tabs>
        <w:suppressAutoHyphens w:val="true"/>
        <w:spacing w:lineRule="auto" w:line="276"/>
        <w:ind w:left="10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saper leggere e comprendere testi complessi di diversa natura, cogliendo le implicazioni e le sfumature di significato proprie di ciascuno di essi, in rapporto con la tipologia e il relativo contesto storico e culturale;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900" w:leader="none"/>
          <w:tab w:val="left" w:pos="1530" w:leader="none"/>
        </w:tabs>
        <w:suppressAutoHyphens w:val="true"/>
        <w:spacing w:lineRule="auto" w:line="276"/>
        <w:ind w:left="10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curare l’esposizione orale e saperla adeguare ai diversi contesti. </w:t>
      </w:r>
    </w:p>
    <w:p>
      <w:pPr>
        <w:pStyle w:val="Normal"/>
        <w:tabs>
          <w:tab w:val="clear" w:pos="709"/>
          <w:tab w:val="left" w:pos="900" w:leader="none"/>
          <w:tab w:val="left" w:pos="1530" w:leader="none"/>
        </w:tabs>
        <w:suppressAutoHyphens w:val="true"/>
        <w:spacing w:lineRule="auto" w:line="276"/>
        <w:ind w:left="122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Aver acquisito, in una lingua straniera moderna, strutture, modalità e competenze comunicative corrispondenti almeno al Livello B2 del Quadro Comune Europeo di Riferimento. </w:t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Saper riconoscere i molteplici rapporti e stabilire raffronti tra la lingua italiana e altre lingue moderne e antiche. </w:t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Saper utilizzare le tecnologie dell’informazione e della comunicazione per studiare, fare ricerca, comunicare.</w:t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Area Storico-Umanistica</w:t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128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Conoscere i presupposti culturali e la natura delle istituzioni politiche, giuridiche, sociali ed economiche, con riferimento particolare all’Italia e all’Europa, e comprendere i diritti e i doveri che caratterizzano l’essere cittadini.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Conoscere, con riferimento agli avvenimenti, ai contesti geografici e ai personaggi più importanti, la storia d’Italia inserita nel contesto europeo e internazionale, dall’antichità sino ai giorni nostri.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Essere consapevoli del significato culturale del patrimonio archeologico, architettonico e artistico italiano, della sua importanza come fondamentale risorsa economica, della necessità di preservarlo attraverso gli strumenti della tutela e della conservazione.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Collocare il pensiero scientifico, la storia delle sue scoperte e lo sviluppo delle invenzioni tecnologiche nell’ambito più vasto della storia delle idee.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Saper fruire delle espressioni creative delle arti e dei mezzi espressivi, compresi lo spettacolo, la musica, le arti visive.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Conoscere gli elementi essenziali e distintivi della cultura e della civiltà dei paesi di cui si studiano le lingue. </w:t>
      </w:r>
    </w:p>
    <w:p>
      <w:pPr>
        <w:pStyle w:val="Normal"/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567" w:hang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Area scientifica, matematica e tecnologica</w:t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Comprendere il linguaggio formale specifico della matematica, saper utilizzare le procedure tipiche del pensiero matematico, conoscere i contenuti fondamentali delle teorie che sono alla base della descrizione matematica della realtà.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Possedere i contenuti fondamentali delle scienze fisiche e delle scienze naturali (chimica, biologia, scienze della terra, astronomia), padroneggiandone le procedure e i metodi di indagine propri, anche per potersi orientare nel campo delle scienze applicate. </w:t>
      </w:r>
    </w:p>
    <w:p>
      <w:pPr>
        <w:pStyle w:val="Normal"/>
        <w:spacing w:lineRule="auto" w:line="276"/>
        <w:ind w:left="128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uto" w:line="276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 </w:t>
      </w:r>
    </w:p>
    <w:p>
      <w:pPr>
        <w:pStyle w:val="Normal"/>
        <w:ind w:left="567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(...)</w:t>
      </w:r>
    </w:p>
    <w:p>
      <w:pPr>
        <w:pStyle w:val="Normal"/>
        <w:ind w:left="567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b/>
          <w:color w:val="000000"/>
        </w:rPr>
        <w:t>3.  P</w:t>
      </w:r>
      <w:r>
        <w:rPr>
          <w:rFonts w:cs="Arial" w:ascii="Arial" w:hAnsi="Arial"/>
          <w:b/>
          <w:color w:val="000000"/>
          <w:lang w:eastAsia="it-IT"/>
        </w:rPr>
        <w:t xml:space="preserve">riorità del </w:t>
      </w:r>
      <w:r>
        <w:rPr>
          <w:rStyle w:val="CollegamentoInternet"/>
          <w:rFonts w:cs="Arial" w:ascii="Arial" w:hAnsi="Arial"/>
          <w:b/>
          <w:color w:val="000000"/>
          <w:u w:val="none"/>
          <w:lang w:eastAsia="it-IT"/>
        </w:rPr>
        <w:t>RAV</w:t>
      </w:r>
    </w:p>
    <w:p>
      <w:pPr>
        <w:pStyle w:val="Normal"/>
        <w:ind w:left="567" w:hanging="0"/>
        <w:jc w:val="both"/>
        <w:rPr/>
      </w:pPr>
      <w:r>
        <w:rPr/>
      </w:r>
    </w:p>
    <w:tbl>
      <w:tblPr>
        <w:tblW w:w="9927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927"/>
      </w:tblGrid>
      <w:tr>
        <w:trPr/>
        <w:tc>
          <w:tcPr>
            <w:tcW w:w="9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center"/>
              <w:rPr>
                <w:color w:val="A52A2A"/>
              </w:rPr>
            </w:pPr>
            <w:r>
              <w:rPr>
                <w:rFonts w:cs="Times New Roman" w:ascii="Times New Roman" w:hAnsi="Times New Roman"/>
                <w:b/>
                <w:bCs/>
                <w:color w:val="A52A2A"/>
                <w:sz w:val="28"/>
                <w:szCs w:val="28"/>
              </w:rPr>
              <w:t>RISULTATI SCOLASTICI</w:t>
            </w:r>
          </w:p>
        </w:tc>
      </w:tr>
      <w:tr>
        <w:trPr/>
        <w:tc>
          <w:tcPr>
            <w:tcW w:w="9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color w:val="A52A2A"/>
              </w:rPr>
            </w:pPr>
            <w:r>
              <w:rPr>
                <w:rFonts w:cs="Times New Roman" w:ascii="Times New Roman" w:hAnsi="Times New Roman"/>
                <w:b/>
                <w:bCs/>
                <w:color w:val="A52A2A"/>
              </w:rPr>
              <w:t>Priorità</w:t>
            </w:r>
          </w:p>
        </w:tc>
      </w:tr>
      <w:tr>
        <w:trPr/>
        <w:tc>
          <w:tcPr>
            <w:tcW w:w="9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Migliorare gli apprendimenti nelle competenze di base</w:t>
            </w:r>
          </w:p>
        </w:tc>
      </w:tr>
      <w:tr>
        <w:trPr/>
        <w:tc>
          <w:tcPr>
            <w:tcW w:w="9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center"/>
              <w:rPr>
                <w:color w:val="A52A2A"/>
              </w:rPr>
            </w:pPr>
            <w:r>
              <w:rPr>
                <w:rFonts w:cs="Times New Roman" w:ascii="Times New Roman" w:hAnsi="Times New Roman"/>
                <w:b/>
                <w:bCs/>
                <w:color w:val="A52A2A"/>
                <w:sz w:val="28"/>
                <w:szCs w:val="28"/>
              </w:rPr>
              <w:t>RISULTATI NELLE PROVE STANDARDIZZATE NAZIONALI</w:t>
            </w:r>
          </w:p>
        </w:tc>
      </w:tr>
      <w:tr>
        <w:trPr/>
        <w:tc>
          <w:tcPr>
            <w:tcW w:w="9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color w:val="A52A2A"/>
              </w:rPr>
            </w:pPr>
            <w:r>
              <w:rPr>
                <w:rFonts w:cs="Times New Roman" w:ascii="Times New Roman" w:hAnsi="Times New Roman"/>
                <w:b/>
                <w:bCs/>
                <w:color w:val="A52A2A"/>
              </w:rPr>
              <w:t>Priorità</w:t>
            </w:r>
          </w:p>
        </w:tc>
      </w:tr>
      <w:tr>
        <w:trPr/>
        <w:tc>
          <w:tcPr>
            <w:tcW w:w="9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Migliorare l'Effetto-Scuola</w:t>
            </w:r>
          </w:p>
        </w:tc>
      </w:tr>
    </w:tbl>
    <w:p>
      <w:pPr>
        <w:pStyle w:val="Normal"/>
        <w:ind w:left="567" w:hanging="0"/>
        <w:jc w:val="both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ind w:left="567" w:hanging="0"/>
        <w:jc w:val="both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ind w:left="567" w:firstLine="284"/>
        <w:jc w:val="both"/>
        <w:rPr/>
      </w:pPr>
      <w:r>
        <w:rPr>
          <w:rFonts w:cs="Arial" w:ascii="Arial" w:hAnsi="Arial"/>
          <w:b/>
          <w:color w:val="000000"/>
          <w:lang w:eastAsia="it-IT"/>
        </w:rPr>
        <w:t xml:space="preserve">4.  </w:t>
      </w:r>
      <w:r>
        <w:rPr>
          <w:rStyle w:val="CollegamentoInternet"/>
          <w:rFonts w:cs="Arial" w:ascii="Arial" w:hAnsi="Arial"/>
          <w:b/>
          <w:color w:val="000000"/>
          <w:lang w:val="it-IT" w:eastAsia="it-IT"/>
        </w:rPr>
        <w:t>Pr</w:t>
      </w:r>
      <w:r>
        <w:rPr>
          <w:rStyle w:val="CollegamentoInternet"/>
          <w:rFonts w:cs="Arial" w:ascii="Arial" w:hAnsi="Arial"/>
          <w:b/>
          <w:color w:val="000000"/>
          <w:lang w:eastAsia="it-IT"/>
        </w:rPr>
        <w:t>ogrammazioni Dipartimentali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0"/>
        <w:ind w:left="397" w:right="0" w:hanging="0"/>
        <w:jc w:val="right"/>
        <w:rPr>
          <w:rStyle w:val="CollegamentoInternet"/>
          <w:rFonts w:ascii="Arial" w:hAnsi="Arial" w:cs="Arial"/>
          <w:sz w:val="22"/>
          <w:szCs w:val="22"/>
          <w:u w:val="none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Consultare sul sito gli obiettivi delle Programmazioni pubblicate da ciascun </w:t>
      </w:r>
      <w:hyperlink r:id="rId2">
        <w:r>
          <w:rPr>
            <w:rStyle w:val="CollegamentoInternet"/>
            <w:rFonts w:cs="Arial" w:ascii="Arial" w:hAnsi="Arial"/>
            <w:sz w:val="22"/>
            <w:szCs w:val="22"/>
            <w:lang w:eastAsia="it-IT"/>
          </w:rPr>
          <w:t>Dipartimento</w:t>
        </w:r>
      </w:hyperlink>
      <w:r>
        <w:rPr>
          <w:rFonts w:cs="Arial" w:ascii="Arial" w:hAnsi="Arial"/>
          <w:sz w:val="22"/>
          <w:szCs w:val="22"/>
          <w:lang w:eastAsia="it-IT"/>
        </w:rPr>
        <w:t xml:space="preserve"> </w:t>
      </w:r>
    </w:p>
    <w:p>
      <w:pPr>
        <w:pStyle w:val="Normal"/>
        <w:rPr/>
      </w:pPr>
      <w:r>
        <w:rPr>
          <w:rStyle w:val="CollegamentoInternet"/>
          <w:color w:val="696969"/>
          <w:u w:val="none"/>
        </w:rPr>
        <w:t>in Didattica/Ptof - Dipartimenti</w:t>
      </w:r>
    </w:p>
    <w:p>
      <w:pPr>
        <w:pStyle w:val="Normal"/>
        <w:ind w:left="567" w:hang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SEZIONE VALUTAZIONE</w:t>
      </w:r>
    </w:p>
    <w:p>
      <w:pPr>
        <w:pStyle w:val="Normal"/>
        <w:ind w:left="567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9" w:leader="none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Indicatori di valutazione elaborati dai Referenti del Curricolo, approvati nel Collegio Docenti del 14 giugno 2019.</w:t>
      </w:r>
    </w:p>
    <w:p>
      <w:pPr>
        <w:pStyle w:val="Normal"/>
        <w:tabs>
          <w:tab w:val="left" w:pos="709" w:leader="none"/>
          <w:tab w:val="left" w:pos="851" w:leader="none"/>
        </w:tabs>
        <w:spacing w:lineRule="auto" w:line="276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2"/>
        </w:numPr>
        <w:spacing w:lineRule="auto" w:line="276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INSUFFICIENTE </w:t>
      </w:r>
      <w:r>
        <w:rPr>
          <w:rFonts w:cs="Arial" w:ascii="Arial" w:hAnsi="Arial"/>
          <w:sz w:val="22"/>
          <w:szCs w:val="22"/>
        </w:rPr>
        <w:t xml:space="preserve">(1- 4; 4½ ; 5-); </w:t>
      </w:r>
    </w:p>
    <w:p>
      <w:pPr>
        <w:pStyle w:val="Normal"/>
        <w:numPr>
          <w:ilvl w:val="0"/>
          <w:numId w:val="12"/>
        </w:numPr>
        <w:spacing w:lineRule="auto" w:line="276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PARZIALE </w:t>
      </w:r>
      <w:r>
        <w:rPr>
          <w:rFonts w:cs="Arial" w:ascii="Arial" w:hAnsi="Arial"/>
          <w:sz w:val="22"/>
          <w:szCs w:val="22"/>
        </w:rPr>
        <w:t xml:space="preserve">(5; 5½); </w:t>
      </w:r>
    </w:p>
    <w:p>
      <w:pPr>
        <w:pStyle w:val="Normal"/>
        <w:numPr>
          <w:ilvl w:val="0"/>
          <w:numId w:val="12"/>
        </w:numPr>
        <w:spacing w:lineRule="auto" w:line="276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BASILARE </w:t>
      </w:r>
      <w:r>
        <w:rPr>
          <w:rFonts w:cs="Arial" w:ascii="Arial" w:hAnsi="Arial"/>
          <w:sz w:val="22"/>
          <w:szCs w:val="22"/>
        </w:rPr>
        <w:t xml:space="preserve">(6-; 6; 6½ ); </w:t>
      </w:r>
    </w:p>
    <w:p>
      <w:pPr>
        <w:pStyle w:val="Normal"/>
        <w:numPr>
          <w:ilvl w:val="0"/>
          <w:numId w:val="12"/>
        </w:numPr>
        <w:spacing w:lineRule="auto" w:line="276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ADEGUATO </w:t>
      </w:r>
      <w:r>
        <w:rPr>
          <w:rFonts w:cs="Arial" w:ascii="Arial" w:hAnsi="Arial"/>
          <w:sz w:val="22"/>
          <w:szCs w:val="22"/>
        </w:rPr>
        <w:t xml:space="preserve">(7; 8½); </w:t>
      </w:r>
    </w:p>
    <w:p>
      <w:pPr>
        <w:pStyle w:val="Normal"/>
        <w:numPr>
          <w:ilvl w:val="0"/>
          <w:numId w:val="12"/>
        </w:numPr>
        <w:spacing w:lineRule="auto" w:line="276"/>
        <w:ind w:left="567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ECCELLENTE </w:t>
      </w:r>
      <w:r>
        <w:rPr>
          <w:rFonts w:cs="Arial" w:ascii="Arial" w:hAnsi="Arial"/>
          <w:sz w:val="22"/>
          <w:szCs w:val="22"/>
        </w:rPr>
        <w:t>(9; 10)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</w:t>
      </w:r>
    </w:p>
    <w:sectPr>
      <w:headerReference w:type="default" r:id="rId3"/>
      <w:type w:val="nextPage"/>
      <w:pgSz w:w="11906" w:h="16838"/>
      <w:pgMar w:left="1183" w:right="1539" w:gutter="0" w:header="1134" w:top="4072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t xml:space="preserve">                                </w:t>
    </w:r>
  </w:p>
  <w:p>
    <w:pPr>
      <w:pStyle w:val="Intestazione"/>
      <w:jc w:val="center"/>
      <w:rPr>
        <w:rFonts w:ascii="Times New Roman" w:hAnsi="Times New Roman" w:cs="Times New Roman"/>
      </w:rPr>
    </w:pPr>
    <w:r>
      <w:rPr/>
      <w:drawing>
        <wp:inline distT="0" distB="0" distL="0" distR="0">
          <wp:extent cx="4010025" cy="58102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Liceo Laura Bassi   Via S. Isaia, 35   40123 BOLOGNA   Tel. 0513399611   Fax 051332306</w:t>
    </w:r>
  </w:p>
  <w:p>
    <w:pPr>
      <w:pStyle w:val="Intestazione"/>
      <w:jc w:val="center"/>
      <w:rPr>
        <w:rFonts w:ascii="Arial" w:hAnsi="Arial" w:cs="Arial"/>
        <w:sz w:val="16"/>
        <w:szCs w:val="16"/>
        <w:lang w:val="en-GB"/>
      </w:rPr>
    </w:pPr>
    <w:r>
      <w:rPr>
        <w:rFonts w:cs="Arial" w:ascii="Arial" w:hAnsi="Arial"/>
        <w:sz w:val="16"/>
        <w:szCs w:val="16"/>
      </w:rPr>
      <w:t xml:space="preserve">  </w:t>
    </w:r>
    <w:r>
      <w:rPr>
        <w:rFonts w:cs="Arial" w:ascii="Arial" w:hAnsi="Arial"/>
        <w:sz w:val="16"/>
        <w:szCs w:val="16"/>
        <w:lang w:val="en-GB"/>
      </w:rPr>
      <w:t>Email bopm030005@istruzione.it - PEC bopm030005@pec.istruzione.it - sito web  http://laurabassi.edu. it</w:t>
    </w:r>
  </w:p>
  <w:p>
    <w:pPr>
      <w:pStyle w:val="Intestazione"/>
      <w:rPr>
        <w:lang w:val="en-GB"/>
      </w:rPr>
    </w:pPr>
    <w:r>
      <w:rPr>
        <w:lang w:val="en-GB"/>
      </w:rPr>
    </w:r>
  </w:p>
  <w:p>
    <w:pPr>
      <w:pStyle w:val="LO-normal"/>
      <w:spacing w:lineRule="auto" w:line="240"/>
      <w:ind w:left="567" w:hanging="0"/>
      <w:jc w:val="center"/>
      <w:rPr>
        <w:rStyle w:val="CollegamentoInternet"/>
        <w:rFonts w:ascii="Times New Roman" w:hAnsi="Times New Roman" w:cs="Times New Roman"/>
        <w:sz w:val="20"/>
        <w:szCs w:val="20"/>
        <w:lang w:val="en-US"/>
      </w:rPr>
    </w:pPr>
    <w:r>
      <w:rPr>
        <w:rFonts w:cs="Times New Roman" w:ascii="Times New Roman" w:hAnsi="Times New Roman"/>
        <w:sz w:val="20"/>
        <w:szCs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b/>
        <w:szCs w:val="22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207"/>
        </w:tabs>
        <w:ind w:left="2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567"/>
        </w:tabs>
        <w:ind w:left="56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27"/>
        </w:tabs>
        <w:ind w:left="92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Hyperlink"/>
    <w:rPr>
      <w:color w:val="000080"/>
      <w:u w:val="single"/>
    </w:rPr>
  </w:style>
  <w:style w:type="character" w:styleId="CollegamentoInternetvisitato" w:customStyle="1">
    <w:name w:val="FollowedHyperlink"/>
    <w:rPr>
      <w:color w:val="800000"/>
      <w:u w:val="single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OpenSymbol;Arial Unicode MS" w:hAnsi="OpenSymbol;Arial Unicode MS" w:cs="OpenSymbol;Arial Unicode MS"/>
    </w:rPr>
  </w:style>
  <w:style w:type="character" w:styleId="WW8Num2z0" w:customStyle="1">
    <w:name w:val="WW8Num2z0"/>
    <w:qFormat/>
    <w:rPr>
      <w:rFonts w:ascii="Arial" w:hAnsi="Arial" w:cs="Arial"/>
      <w:b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5z0" w:customStyle="1">
    <w:name w:val="WW8Num5z0"/>
    <w:qFormat/>
    <w:rPr>
      <w:rFonts w:cs="Aria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3z0" w:customStyle="1">
    <w:name w:val="WW8Num3z0"/>
    <w:qFormat/>
    <w:rPr>
      <w:rFonts w:cs="Aria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6z0" w:customStyle="1">
    <w:name w:val="WW8Num6z0"/>
    <w:qFormat/>
    <w:rPr>
      <w:rFonts w:cs="Aria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7z0" w:customStyle="1">
    <w:name w:val="WW8Num7z0"/>
    <w:qFormat/>
    <w:rPr>
      <w:rFonts w:cs="Arial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OpenSymbol;Arial Unicode MS" w:hAnsi="OpenSymbol;Arial Unicode MS" w:cs="OpenSymbol;Arial Unicode M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Wingdings"/>
    </w:rPr>
  </w:style>
  <w:style w:type="character" w:styleId="WW8Num10z1" w:customStyle="1">
    <w:name w:val="WW8Num10z1"/>
    <w:qFormat/>
    <w:rPr>
      <w:rFonts w:ascii="OpenSymbol;Arial Unicode MS" w:hAnsi="OpenSymbol;Arial Unicode MS" w:cs="Courier New"/>
      <w:sz w:val="20"/>
    </w:rPr>
  </w:style>
  <w:style w:type="character" w:styleId="WW8Num11z0" w:customStyle="1">
    <w:name w:val="WW8Num11z0"/>
    <w:qFormat/>
    <w:rPr>
      <w:rFonts w:ascii="Wingdings" w:hAnsi="Wingdings" w:cs="OpenSymbol;Arial Unicode MS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 w:cs="OpenSymbol;Arial Unicode MS"/>
    </w:rPr>
  </w:style>
  <w:style w:type="character" w:styleId="WW8Num12z1" w:customStyle="1">
    <w:name w:val="WW8Num12z1"/>
    <w:qFormat/>
    <w:rPr>
      <w:rFonts w:ascii="OpenSymbol;Arial Unicode MS" w:hAnsi="OpenSymbol;Arial Unicode MS" w:cs="Courier New"/>
    </w:rPr>
  </w:style>
  <w:style w:type="character" w:styleId="WW8Num13z0" w:customStyle="1">
    <w:name w:val="WW8Num13z0"/>
    <w:qFormat/>
    <w:rPr>
      <w:rFonts w:ascii="Symbol" w:hAnsi="Symbol" w:cs="Symbol"/>
      <w:sz w:val="22"/>
      <w:szCs w:val="22"/>
    </w:rPr>
  </w:style>
  <w:style w:type="character" w:styleId="PidipaginaCarattere" w:customStyle="1">
    <w:name w:val="Piè di pagina Carattere"/>
    <w:basedOn w:val="DefaultParagraphFont"/>
    <w:uiPriority w:val="99"/>
    <w:qFormat/>
    <w:rsid w:val="0096189c"/>
    <w:rPr>
      <w:rFonts w:cs="Mangal"/>
      <w:szCs w:val="21"/>
    </w:rPr>
  </w:style>
  <w:style w:type="character" w:styleId="IntestazioneCarattere" w:customStyle="1">
    <w:name w:val="Intestazione Carattere"/>
    <w:basedOn w:val="DefaultParagraphFont"/>
    <w:uiPriority w:val="99"/>
    <w:qFormat/>
    <w:rsid w:val="0096189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val="it-IT" w:eastAsia="zh-CN" w:bidi="ar-SA"/>
    </w:rPr>
  </w:style>
  <w:style w:type="paragraph" w:styleId="Pidipagina">
    <w:name w:val="Footer"/>
    <w:basedOn w:val="Normal"/>
    <w:link w:val="PidipaginaCarattere"/>
    <w:uiPriority w:val="99"/>
    <w:unhideWhenUsed/>
    <w:rsid w:val="0096189c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numbering" w:styleId="WW8Num6" w:customStyle="1">
    <w:name w:val="WW8Num6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urabassi.edu.it/dipartiment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LibreOffice/7.5.6.2$Windows_X86_64 LibreOffice_project/f654817fb68d6d4600d7d2f6b647e47729f55f15</Application>
  <AppVersion>15.0000</AppVersion>
  <Pages>5</Pages>
  <Words>1233</Words>
  <Characters>7579</Characters>
  <CharactersWithSpaces>8737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2019-11-11T12:38:00Z</dcterms:created>
  <dc:creator/>
  <dc:description/>
  <dc:language>it-IT</dc:language>
  <cp:lastModifiedBy/>
  <dcterms:modified xsi:type="dcterms:W3CDTF">2023-10-06T21:14:38Z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